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9F" w:rsidRPr="009B199F" w:rsidRDefault="009B199F" w:rsidP="009B199F">
      <w:pPr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 w:rsidRPr="009B199F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5</w:t>
      </w:r>
    </w:p>
    <w:p w:rsidR="00483E88" w:rsidRPr="008F47EF" w:rsidRDefault="00483E88" w:rsidP="00483E88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8F47EF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南</w:t>
      </w:r>
      <w:r w:rsidRPr="008F47EF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京审计学院青年教师教学竞赛暨</w:t>
      </w:r>
    </w:p>
    <w:p w:rsidR="009B199F" w:rsidRPr="008F47EF" w:rsidRDefault="00483E88" w:rsidP="00483E88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8F47EF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江苏</w:t>
      </w:r>
      <w:r w:rsidRPr="008F47EF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省本科高校青年教师教学竞赛选拔赛</w:t>
      </w:r>
      <w:r w:rsidR="009B199F" w:rsidRPr="008F47EF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教学设计评分表</w:t>
      </w:r>
    </w:p>
    <w:p w:rsidR="009B199F" w:rsidRPr="009B199F" w:rsidRDefault="009B199F" w:rsidP="009B199F">
      <w:pPr>
        <w:widowControl/>
        <w:spacing w:line="240" w:lineRule="exact"/>
        <w:rPr>
          <w:rFonts w:ascii="仿宋_GB2312" w:eastAsia="宋体" w:hAnsi="宋体" w:cs="Times New Roman"/>
          <w:color w:val="000000"/>
          <w:kern w:val="0"/>
          <w:sz w:val="28"/>
          <w:szCs w:val="28"/>
        </w:rPr>
      </w:pPr>
    </w:p>
    <w:p w:rsidR="009B199F" w:rsidRPr="009B199F" w:rsidRDefault="00954A98" w:rsidP="009B199F">
      <w:pPr>
        <w:widowControl/>
        <w:spacing w:line="400" w:lineRule="atLeast"/>
        <w:rPr>
          <w:rFonts w:ascii="仿宋_GB2312" w:eastAsia="宋体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参赛选手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：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5670"/>
        <w:gridCol w:w="889"/>
        <w:gridCol w:w="890"/>
      </w:tblGrid>
      <w:tr w:rsidR="009B199F" w:rsidRPr="009B199F" w:rsidTr="008C5A99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B199F" w:rsidRPr="009B199F" w:rsidTr="008C5A99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设计</w:t>
            </w:r>
          </w:p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方案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199F" w:rsidRPr="009B199F" w:rsidTr="008C5A99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199F" w:rsidRPr="009B199F" w:rsidTr="008C5A99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评委</w:t>
            </w:r>
          </w:p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199F" w:rsidRPr="009B199F" w:rsidRDefault="009B199F" w:rsidP="009B199F">
      <w:pPr>
        <w:spacing w:beforeLines="50" w:before="156" w:line="480" w:lineRule="auto"/>
        <w:jc w:val="left"/>
        <w:rPr>
          <w:rFonts w:ascii="宋体" w:eastAsia="宋体" w:hAnsi="Times New Roman" w:cs="宋体"/>
          <w:bCs/>
          <w:color w:val="000000"/>
          <w:kern w:val="0"/>
          <w:sz w:val="28"/>
          <w:szCs w:val="28"/>
        </w:rPr>
      </w:pPr>
      <w:r w:rsidRPr="009B199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9B199F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注：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评委评分可保留小数点后两位。</w:t>
      </w:r>
    </w:p>
    <w:p w:rsidR="009B199F" w:rsidRPr="009B199F" w:rsidRDefault="009B199F" w:rsidP="009B199F">
      <w:pPr>
        <w:widowControl/>
        <w:spacing w:line="360" w:lineRule="auto"/>
        <w:jc w:val="center"/>
        <w:rPr>
          <w:rFonts w:ascii="宋体" w:eastAsia="宋体" w:hAnsi="Times New Roman" w:cs="Times New Roman"/>
          <w:color w:val="000000"/>
          <w:kern w:val="0"/>
          <w:szCs w:val="32"/>
        </w:rPr>
      </w:pPr>
    </w:p>
    <w:p w:rsidR="009B199F" w:rsidRPr="009B199F" w:rsidRDefault="009B199F" w:rsidP="009B199F">
      <w:pPr>
        <w:widowControl/>
        <w:spacing w:line="360" w:lineRule="auto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9B199F" w:rsidRPr="009B199F" w:rsidRDefault="009B199F" w:rsidP="009B199F">
      <w:pPr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9B199F" w:rsidRPr="009B199F" w:rsidRDefault="009B199F" w:rsidP="009B199F">
      <w:pPr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9B199F" w:rsidRPr="009B199F" w:rsidRDefault="009B199F" w:rsidP="009B199F">
      <w:pPr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Pr="009B199F">
        <w:rPr>
          <w:rFonts w:ascii="黑体" w:eastAsia="黑体" w:hAnsi="黑体" w:cs="Times New Roman"/>
          <w:color w:val="000000"/>
          <w:kern w:val="0"/>
          <w:sz w:val="28"/>
          <w:szCs w:val="28"/>
        </w:rPr>
        <w:br w:type="page"/>
      </w:r>
    </w:p>
    <w:p w:rsidR="00CA3880" w:rsidRPr="00966EAB" w:rsidRDefault="00CA3880" w:rsidP="00CA3880">
      <w:pPr>
        <w:spacing w:line="640" w:lineRule="exact"/>
        <w:ind w:leftChars="-95" w:left="-73" w:hangingChars="45" w:hanging="126"/>
        <w:jc w:val="center"/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</w:pPr>
      <w:r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lastRenderedPageBreak/>
        <w:t>南</w:t>
      </w:r>
      <w:r w:rsidRPr="00966EAB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京审计学院青年教师教学竞赛暨</w:t>
      </w:r>
    </w:p>
    <w:p w:rsidR="00CA3880" w:rsidRPr="00966EAB" w:rsidRDefault="00CA3880" w:rsidP="00CA3880">
      <w:pPr>
        <w:spacing w:line="640" w:lineRule="exact"/>
        <w:ind w:leftChars="-95" w:left="-73" w:hangingChars="45" w:hanging="126"/>
        <w:jc w:val="center"/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</w:pPr>
      <w:r w:rsidRPr="00966EAB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江苏</w:t>
      </w:r>
      <w:r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省本科高校青年教师教学竞赛选拔赛</w:t>
      </w:r>
      <w:r w:rsidR="00C61476"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课堂</w:t>
      </w:r>
      <w:r w:rsidR="00C61476" w:rsidRPr="00966EAB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教学</w:t>
      </w:r>
      <w:r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评分表</w:t>
      </w:r>
    </w:p>
    <w:p w:rsidR="009B199F" w:rsidRPr="009B199F" w:rsidRDefault="009B199F" w:rsidP="009B199F">
      <w:pPr>
        <w:spacing w:line="240" w:lineRule="exact"/>
        <w:jc w:val="center"/>
        <w:rPr>
          <w:rFonts w:ascii="文鼎大标宋简" w:eastAsia="文鼎大标宋简" w:hAnsi="华文中宋" w:cs="Times New Roman"/>
          <w:bCs/>
          <w:color w:val="000000"/>
          <w:kern w:val="0"/>
          <w:sz w:val="36"/>
          <w:szCs w:val="36"/>
        </w:rPr>
      </w:pPr>
    </w:p>
    <w:p w:rsidR="009B199F" w:rsidRPr="009B199F" w:rsidRDefault="00CA3880" w:rsidP="009B199F">
      <w:pPr>
        <w:widowControl/>
        <w:spacing w:line="400" w:lineRule="atLeast"/>
        <w:ind w:firstLineChars="50" w:firstLine="140"/>
        <w:rPr>
          <w:rFonts w:ascii="黑体" w:eastAsia="黑体" w:hAnsi="宋体" w:cs="Times New Roman"/>
          <w:color w:val="000000"/>
          <w:kern w:val="0"/>
          <w:sz w:val="24"/>
          <w:szCs w:val="24"/>
        </w:rPr>
      </w:pPr>
      <w:r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参赛选手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: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  <w:u w:val="single"/>
        </w:rPr>
        <w:t xml:space="preserve">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827"/>
        <w:gridCol w:w="5463"/>
        <w:gridCol w:w="850"/>
        <w:gridCol w:w="851"/>
      </w:tblGrid>
      <w:tr w:rsidR="009B199F" w:rsidRPr="009B199F" w:rsidTr="008C5A99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 xml:space="preserve">得分 </w:t>
            </w:r>
          </w:p>
        </w:tc>
      </w:tr>
      <w:tr w:rsidR="009B199F" w:rsidRPr="009B199F" w:rsidTr="008C5A99">
        <w:trPr>
          <w:trHeight w:hRule="exact"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课堂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80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内容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B199F" w:rsidRPr="009B199F" w:rsidTr="008C5A99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注重学术性，内容充实，信息量大，渗透</w:t>
            </w:r>
            <w:bookmarkStart w:id="0" w:name="_GoBack"/>
            <w:bookmarkEnd w:id="0"/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组织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B199F" w:rsidRPr="009B199F" w:rsidTr="008C5A99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hRule="exact"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语言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教态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特色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B199F" w:rsidRPr="009B199F" w:rsidRDefault="009B199F" w:rsidP="009B199F">
      <w:pPr>
        <w:spacing w:beforeLines="50" w:before="156" w:line="480" w:lineRule="auto"/>
        <w:jc w:val="left"/>
        <w:rPr>
          <w:rFonts w:ascii="宋体" w:eastAsia="宋体" w:hAnsi="Times New Roman" w:cs="宋体"/>
          <w:bCs/>
          <w:color w:val="000000"/>
          <w:kern w:val="0"/>
          <w:sz w:val="28"/>
          <w:szCs w:val="28"/>
        </w:rPr>
      </w:pPr>
      <w:r w:rsidRPr="009B199F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注：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评委评分可保留小数点后两位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9B199F" w:rsidRPr="009B199F" w:rsidRDefault="009B199F" w:rsidP="009B199F">
      <w:pPr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 w:rsidRPr="009B199F">
        <w:rPr>
          <w:rFonts w:ascii="黑体" w:eastAsia="黑体" w:hAnsi="黑体" w:cs="Times New Roman"/>
          <w:color w:val="000000"/>
          <w:kern w:val="0"/>
          <w:sz w:val="28"/>
          <w:szCs w:val="28"/>
        </w:rPr>
        <w:br w:type="page"/>
      </w:r>
    </w:p>
    <w:p w:rsidR="00140D20" w:rsidRPr="00914D0C" w:rsidRDefault="00140D20" w:rsidP="00140D20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914D0C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lastRenderedPageBreak/>
        <w:t>南</w:t>
      </w:r>
      <w:r w:rsidRPr="00914D0C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京审计学院青年教师教学竞赛暨</w:t>
      </w:r>
    </w:p>
    <w:p w:rsidR="00140D20" w:rsidRPr="009B199F" w:rsidRDefault="00140D20" w:rsidP="00140D20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914D0C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江苏</w:t>
      </w:r>
      <w:r w:rsidRPr="00914D0C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省本科高校青年教师教学竞赛选拔赛</w:t>
      </w:r>
      <w:r w:rsidRPr="00914D0C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教学反</w:t>
      </w:r>
      <w:r w:rsidRPr="00914D0C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思</w:t>
      </w:r>
      <w:r w:rsidRPr="009B199F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评分表</w:t>
      </w:r>
    </w:p>
    <w:p w:rsidR="009B199F" w:rsidRPr="009B199F" w:rsidRDefault="009B199F" w:rsidP="009B199F">
      <w:pPr>
        <w:jc w:val="left"/>
        <w:rPr>
          <w:rFonts w:ascii="宋体" w:eastAsia="宋体" w:hAnsi="Times New Roman" w:cs="Times New Roman"/>
          <w:color w:val="000000"/>
          <w:kern w:val="0"/>
          <w:szCs w:val="21"/>
        </w:rPr>
      </w:pPr>
    </w:p>
    <w:p w:rsidR="009B199F" w:rsidRPr="009B199F" w:rsidRDefault="00914D0C" w:rsidP="009B199F">
      <w:pPr>
        <w:widowControl/>
        <w:spacing w:line="400" w:lineRule="atLeast"/>
        <w:ind w:firstLineChars="50" w:firstLine="140"/>
        <w:rPr>
          <w:rFonts w:ascii="仿宋_GB2312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参赛选手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: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  <w:u w:val="single"/>
        </w:rPr>
        <w:t xml:space="preserve">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9B199F" w:rsidRPr="009B199F" w:rsidTr="008C5A99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B199F" w:rsidRPr="009B199F" w:rsidTr="008C5A99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反思</w:t>
            </w:r>
          </w:p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199F" w:rsidRPr="009B199F" w:rsidRDefault="009B199F" w:rsidP="009B199F">
      <w:pPr>
        <w:spacing w:beforeLines="50" w:before="156" w:line="480" w:lineRule="auto"/>
        <w:jc w:val="left"/>
        <w:rPr>
          <w:rFonts w:ascii="宋体" w:eastAsia="宋体" w:hAnsi="Times New Roman" w:cs="宋体"/>
          <w:bCs/>
          <w:color w:val="000000"/>
          <w:kern w:val="0"/>
          <w:sz w:val="28"/>
          <w:szCs w:val="28"/>
        </w:rPr>
      </w:pPr>
      <w:r w:rsidRPr="009B199F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注：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评委评分可保留小数点后两位。</w:t>
      </w:r>
    </w:p>
    <w:p w:rsidR="009B199F" w:rsidRPr="009B199F" w:rsidRDefault="009B199F" w:rsidP="009B199F">
      <w:pPr>
        <w:spacing w:line="400" w:lineRule="exact"/>
        <w:jc w:val="left"/>
        <w:rPr>
          <w:rFonts w:ascii="宋体" w:eastAsia="宋体" w:hAnsi="Times New Roman" w:cs="Times New Roman"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9B199F" w:rsidRPr="009B199F" w:rsidRDefault="009B199F" w:rsidP="009B199F">
      <w:pPr>
        <w:spacing w:line="400" w:lineRule="exact"/>
        <w:ind w:firstLineChars="100" w:firstLine="240"/>
        <w:jc w:val="left"/>
        <w:rPr>
          <w:rFonts w:ascii="黑体" w:eastAsia="黑体" w:hAnsi="Times New Roman" w:cs="Times New Roman"/>
          <w:bCs/>
          <w:color w:val="000000"/>
          <w:kern w:val="0"/>
          <w:sz w:val="24"/>
          <w:szCs w:val="24"/>
        </w:rPr>
      </w:pPr>
      <w:r w:rsidRPr="009B199F">
        <w:rPr>
          <w:rFonts w:ascii="黑体" w:eastAsia="黑体" w:hAnsi="宋体" w:cs="Times New Roman" w:hint="eastAsia"/>
          <w:bCs/>
          <w:color w:val="000000"/>
          <w:kern w:val="0"/>
          <w:sz w:val="24"/>
          <w:szCs w:val="24"/>
        </w:rPr>
        <w:t>说明：</w:t>
      </w:r>
    </w:p>
    <w:p w:rsidR="009B199F" w:rsidRPr="009B199F" w:rsidRDefault="009B199F" w:rsidP="009B199F">
      <w:pPr>
        <w:spacing w:line="400" w:lineRule="exact"/>
        <w:ind w:firstLineChars="281" w:firstLine="674"/>
        <w:jc w:val="left"/>
        <w:rPr>
          <w:rFonts w:ascii="仿宋_GB2312" w:eastAsia="宋体" w:hAnsi="Times New Roman" w:cs="Times New Roman"/>
          <w:color w:val="000000"/>
          <w:kern w:val="0"/>
          <w:sz w:val="24"/>
          <w:szCs w:val="24"/>
        </w:rPr>
      </w:pP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本届比赛成绩评定采用百分制。其计算方式：</w:t>
      </w:r>
    </w:p>
    <w:p w:rsidR="009B199F" w:rsidRPr="009B199F" w:rsidRDefault="009B199F" w:rsidP="009B199F">
      <w:pPr>
        <w:spacing w:line="400" w:lineRule="exact"/>
        <w:ind w:firstLineChars="281" w:firstLine="674"/>
        <w:jc w:val="left"/>
        <w:rPr>
          <w:rFonts w:ascii="仿宋_GB2312" w:eastAsia="宋体" w:hAnsi="Times New Roman" w:cs="Times New Roman"/>
          <w:color w:val="000000"/>
          <w:kern w:val="0"/>
          <w:sz w:val="24"/>
          <w:szCs w:val="24"/>
        </w:rPr>
      </w:pP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教学设计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15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+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课堂教学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80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+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教学反思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5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=100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</w:p>
    <w:p w:rsidR="008271F9" w:rsidRDefault="008271F9" w:rsidP="009B199F"/>
    <w:sectPr w:rsidR="0082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E3" w:rsidRDefault="00A934E3" w:rsidP="009B199F">
      <w:r>
        <w:separator/>
      </w:r>
    </w:p>
  </w:endnote>
  <w:endnote w:type="continuationSeparator" w:id="0">
    <w:p w:rsidR="00A934E3" w:rsidRDefault="00A934E3" w:rsidP="009B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E3" w:rsidRDefault="00A934E3" w:rsidP="009B199F">
      <w:r>
        <w:separator/>
      </w:r>
    </w:p>
  </w:footnote>
  <w:footnote w:type="continuationSeparator" w:id="0">
    <w:p w:rsidR="00A934E3" w:rsidRDefault="00A934E3" w:rsidP="009B199F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9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18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19</cp:revision>
  <cp:lastPrinted>2014-04-25T06:04:00Z</cp:lastPrinted>
  <dcterms:created xsi:type="dcterms:W3CDTF">2014-04-25T06:00:00Z</dcterms:created>
  <dcterms:modified xsi:type="dcterms:W3CDTF">2014-04-25T06:59:00Z</dcterms:modified>
</cp:coreProperties>
</file>